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2026 HUNTER MANUFACTURING AWARDS - APPLICATION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Rising Star Award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DEFINITION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Recognising emerging talent shaping the future of manufacturing.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Rising Star Award celebrates individuals early in their careers who are already making an impact. Recipients demonstrate strong values, practical leadership, and a commitment to growth - helping shape the future of our industry and region.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applicant will: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Submit written responses (with the option to include a short video)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Conduct an interview with HMA judges</w:t>
        <w:br w:type="textWrapping"/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ASSESSMENT COMPONTENTS (Total: 100 points)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80" w:before="80" w:lineRule="auto"/>
        <w:ind w:left="720" w:hanging="36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Written application (45 points)</w:t>
      </w:r>
    </w:p>
    <w:p w:rsidR="00000000" w:rsidDel="00000000" w:rsidP="00000000" w:rsidRDefault="00000000" w:rsidRPr="00000000" w14:paraId="0000000B">
      <w:pPr>
        <w:spacing w:after="80" w:before="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written submission remains the primary source of evidence. Judges assess clarity, relevance and demonstrated impact across the criteria laid out below.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80" w:before="80" w:lineRule="auto"/>
        <w:ind w:left="720" w:hanging="36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Interview (35 points)</w:t>
      </w:r>
    </w:p>
    <w:p w:rsidR="00000000" w:rsidDel="00000000" w:rsidP="00000000" w:rsidRDefault="00000000" w:rsidRPr="00000000" w14:paraId="0000000D">
      <w:pPr>
        <w:spacing w:after="80" w:before="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interview allows judges to validate the written application, explore depth of experience and assess judgement , reflection and communication.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80" w:before="80" w:lineRule="auto"/>
        <w:ind w:left="720" w:hanging="36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Overall candidate presentation (20 points)</w:t>
      </w:r>
    </w:p>
    <w:p w:rsidR="00000000" w:rsidDel="00000000" w:rsidP="00000000" w:rsidRDefault="00000000" w:rsidRPr="00000000" w14:paraId="0000000F">
      <w:pPr>
        <w:spacing w:after="80" w:before="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 integrated assessment of how the candidate presents themselves across the entire process. This captures professionalism, authenticity, clarity of thinking, and consistency between written and verbal responses.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WRITTEN APPLICATION (45 points)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xvg3a7710ece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Nominee Introduction (Required – max 300 words)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Before answering the criteria, please introduce the Rising Star nominee. Tell us: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Who they are and what their current role involves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long they’ve been with the business and their career journey so far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little about their personality, values, or leadership style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you believe they are a Rising Star and how they stand out from their peers</w:t>
      </w:r>
    </w:p>
    <w:p w:rsidR="00000000" w:rsidDel="00000000" w:rsidP="00000000" w:rsidRDefault="00000000" w:rsidRPr="00000000" w14:paraId="00000017">
      <w:pPr>
        <w:spacing w:after="240" w:before="240" w:lineRule="auto"/>
        <w:ind w:right="6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your chance to give the judges a strong first impression and paint a clear picture of the person behind the achievements.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ind w:left="720" w:hanging="360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7lx650w99nx0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1. Drive, Resilience &amp; Integrity (8 points)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Tell us about a time this individual showed determination, grit or resilience in a tough situation.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challenge did they face, and how did they overcome it?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have they chosen to do the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right</w:t>
      </w:r>
      <w:r w:rsidDel="00000000" w:rsidR="00000000" w:rsidRPr="00000000">
        <w:rPr>
          <w:rFonts w:ascii="Arial" w:cs="Arial" w:eastAsia="Arial" w:hAnsi="Arial"/>
          <w:rtl w:val="0"/>
        </w:rPr>
        <w:t xml:space="preserve"> thing, even when it wasn’t the easy option?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they show up with drive, positivity and a ‘can-do’ attitude?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8m2eaxtnrjl3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2. Collaboration &amp; Team Leadership (8 points)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this person support and lead others?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how they’ve contributed to team performance or culture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have they demonstrated leadership, formally or informally?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makes their approach to teamwork or leadership effective?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h1w1g8khq4bv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3. Safety &amp; Responsibility Leadership (8 points)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Safety is foundational to manufacturing.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Share how this individual has influenced safety or wellbeing</w:t>
        <w:br w:type="textWrapping"/>
        <w:t xml:space="preserve">What opportunity did they identify, and how did they act on it?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outcomes or changes did their initiative create?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ind w:left="0" w:firstLine="0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marsfq1eepud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4. Continuous Improvement &amp; Innovation (8 points)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Tell us about a time they made a process, system, or product better</w:t>
        <w:br w:type="textWrapping"/>
        <w:t xml:space="preserve">Was it a small efficiency or a big leap forward?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240" w:before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were the results, and how did they approach implementation?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ind w:left="0" w:firstLine="0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umcehkdzqa6v" w:id="5"/>
      <w:bookmarkEnd w:id="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5. Commitment to Learning (5 points)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is this person investing in their growth?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formal or informal learning have they pursued?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240" w:before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are they staying informed about trends or challenges in manufacturing?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ind w:left="0" w:firstLine="0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bookmarkStart w:colFirst="0" w:colLast="0" w:name="_heading=h.kjvgy6qlaikc" w:id="6"/>
      <w:bookmarkEnd w:id="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6. Impact on the Business and the future of Hunter Manufacturing (8 points)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difference has this person made to your business or team?</w:t>
      </w:r>
    </w:p>
    <w:p w:rsidR="00000000" w:rsidDel="00000000" w:rsidP="00000000" w:rsidRDefault="00000000" w:rsidRPr="00000000" w14:paraId="0000002F">
      <w:pPr>
        <w:keepNext w:val="1"/>
        <w:numPr>
          <w:ilvl w:val="0"/>
          <w:numId w:val="1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Share specific outcomes, improvements, or success stories - consider productivity, culture, quality, or reputation</w:t>
      </w:r>
    </w:p>
    <w:p w:rsidR="00000000" w:rsidDel="00000000" w:rsidP="00000000" w:rsidRDefault="00000000" w:rsidRPr="00000000" w14:paraId="00000030">
      <w:pPr>
        <w:keepNext w:val="1"/>
        <w:numPr>
          <w:ilvl w:val="0"/>
          <w:numId w:val="1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future impact do you see them having in your business or the industry?</w:t>
      </w:r>
    </w:p>
    <w:p w:rsidR="00000000" w:rsidDel="00000000" w:rsidP="00000000" w:rsidRDefault="00000000" w:rsidRPr="00000000" w14:paraId="00000031">
      <w:pPr>
        <w:keepNext w:val="1"/>
        <w:numPr>
          <w:ilvl w:val="0"/>
          <w:numId w:val="1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they show potential as a future leader in manufacturing?</w:t>
      </w:r>
    </w:p>
    <w:p w:rsidR="00000000" w:rsidDel="00000000" w:rsidP="00000000" w:rsidRDefault="00000000" w:rsidRPr="00000000" w14:paraId="00000032">
      <w:pPr>
        <w:spacing w:after="280" w:before="280" w:lineRule="auto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INTERVIEW PERFORMANCE (35 points)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Judges score the interview as a single component, guided by the dimensions below: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spacing w:after="0" w:after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Depth and credibility of responses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0" w:after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Alignment with the written application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0" w:after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Ability to reflect on challenges and learning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after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Communication clarity and professionalism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1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Confidence appropriate to experience level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Judges may reference examples or materials brought by the candidate, but preparation quality is not scored independently.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OVERALL CANDIDATE PRESENTATION (20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mrcyow76zevb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score reflects the judge’s holistic view of the candidate across the entire process.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mrcyow76zevb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Consider: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numPr>
          <w:ilvl w:val="0"/>
          <w:numId w:val="12"/>
        </w:numPr>
        <w:spacing w:after="0" w:afterAutospacing="0" w:before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mrcyow76zevb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Consistency between written and verbal responses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numPr>
          <w:ilvl w:val="0"/>
          <w:numId w:val="12"/>
        </w:numPr>
        <w:spacing w:after="0" w:afterAutospacing="0" w:before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mrcyow76zevb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Professionalism and preparedness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numPr>
          <w:ilvl w:val="0"/>
          <w:numId w:val="12"/>
        </w:numPr>
        <w:spacing w:after="0" w:afterAutospacing="0" w:before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mrcyow76zevb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Authenticity and self-awareness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numPr>
          <w:ilvl w:val="0"/>
          <w:numId w:val="12"/>
        </w:numPr>
        <w:spacing w:after="0" w:afterAutospacing="0" w:before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mrcyow76zevb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Quality of judgement and decision-making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numPr>
          <w:ilvl w:val="0"/>
          <w:numId w:val="12"/>
        </w:numPr>
        <w:spacing w:after="160" w:before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mrcyow76zevb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Clear sense of future potential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lz4z64213t76" w:id="8"/>
      <w:bookmarkEnd w:id="8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component allows judges to differentiate between closely ranked candidates based on overall impression and coherence.</w:t>
      </w:r>
      <w:r w:rsidDel="00000000" w:rsidR="00000000" w:rsidRPr="00000000">
        <w:rPr>
          <w:rtl w:val="0"/>
        </w:rPr>
      </w:r>
    </w:p>
    <w:sectPr>
      <w:pgSz w:h="16840" w:w="11900" w:orient="portrait"/>
      <w:pgMar w:bottom="971.5748031496071" w:top="1275.5905511811022" w:left="708.6614173228347" w:right="716.81102362204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DbqFn4sLaPPZxwGTM6aVvPnNA==">CgMxLjAyDmgueHZnM2E3NzEwZWNlMg5oLjdseDY1MHc5OW54MDIOaC44bTJlYXh0bnJqbDMyDmguaDF3MWc4a2hxNGJ2Mg5oLm1hcnNmcTFlZXB1ZDIOaC51bWNlaGtkenFhNnYyDmgua2p2Z3k2cWxhaWtjMg5oLm1yY3lvdzc2emV2YjIOaC5tcmN5b3c3NnpldmIyDmgubXJjeW93NzZ6ZXZiMg5oLm1yY3lvdzc2emV2YjIOaC5tcmN5b3c3NnpldmIyDmgubXJjeW93NzZ6ZXZiMg5oLm1yY3lvdzc2emV2YjIOaC5sejR6NjQyMTN0NzY4AHIhMVJWWUMwY090aktlcTlnTEVxWmdsVWN5aDc2bTliUm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