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Arial" w:cs="Arial" w:eastAsia="Arial" w:hAnsi="Arial"/>
        </w:rPr>
      </w:pPr>
      <w:r w:rsidDel="00000000" w:rsidR="00000000" w:rsidRPr="00000000">
        <w:rPr>
          <w:rFonts w:ascii="Arial" w:cs="Arial" w:eastAsia="Arial" w:hAnsi="Arial"/>
          <w:b w:val="1"/>
          <w:bCs w:val="1"/>
          <w:rtl w:val="0"/>
        </w:rPr>
        <w:t xml:space="preserve">2026 HUNTER MANUFACTURING AWARDS - APPLICATION GUIDE</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Excellence in Manufacturing Leadership Award</w:t>
      </w:r>
    </w:p>
    <w:p w:rsidR="00000000" w:rsidDel="00000000" w:rsidP="00000000" w:rsidRDefault="00000000" w:rsidRPr="00000000" w14:paraId="00000003">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DEFINITION</w:t>
      </w:r>
    </w:p>
    <w:p w:rsidR="00000000" w:rsidDel="00000000" w:rsidP="00000000" w:rsidRDefault="00000000" w:rsidRPr="00000000" w14:paraId="00000004">
      <w:pPr>
        <w:spacing w:after="280" w:before="280" w:lineRule="auto"/>
        <w:rPr>
          <w:rFonts w:ascii="Arial" w:cs="Arial" w:eastAsia="Arial" w:hAnsi="Arial"/>
        </w:rPr>
      </w:pPr>
      <w:r w:rsidDel="00000000" w:rsidR="00000000" w:rsidRPr="00000000">
        <w:rPr>
          <w:rFonts w:ascii="Arial" w:cs="Arial" w:eastAsia="Arial" w:hAnsi="Arial"/>
          <w:rtl w:val="0"/>
        </w:rPr>
        <w:t xml:space="preserve">This award recognises individuals who demonstrate outstanding leadership within the hunter manufacturing sector. </w:t>
      </w:r>
    </w:p>
    <w:p w:rsidR="00000000" w:rsidDel="00000000" w:rsidP="00000000" w:rsidRDefault="00000000" w:rsidRPr="00000000" w14:paraId="00000005">
      <w:pPr>
        <w:spacing w:after="280" w:before="280" w:lineRule="auto"/>
        <w:rPr>
          <w:rFonts w:ascii="Arial" w:cs="Arial" w:eastAsia="Arial" w:hAnsi="Arial"/>
        </w:rPr>
      </w:pPr>
      <w:r w:rsidDel="00000000" w:rsidR="00000000" w:rsidRPr="00000000">
        <w:rPr>
          <w:rFonts w:ascii="Arial" w:cs="Arial" w:eastAsia="Arial" w:hAnsi="Arial"/>
          <w:rtl w:val="0"/>
        </w:rPr>
        <w:t xml:space="preserve">Through their leadership, nominees will have made a significant and positive impact on people, processes, and business outcomes. They may have led major business transformations, driven operational excellence, fostered strong and inclusive teams, or inspired innovation and strategic growth within their organisation and the broader manufacturing community.</w:t>
      </w:r>
    </w:p>
    <w:p w:rsidR="00000000" w:rsidDel="00000000" w:rsidP="00000000" w:rsidRDefault="00000000" w:rsidRPr="00000000" w14:paraId="00000006">
      <w:pPr>
        <w:spacing w:after="280" w:before="280" w:lineRule="auto"/>
        <w:rPr>
          <w:rFonts w:ascii="Arial" w:cs="Arial" w:eastAsia="Arial" w:hAnsi="Arial"/>
        </w:rPr>
      </w:pPr>
      <w:r w:rsidDel="00000000" w:rsidR="00000000" w:rsidRPr="00000000">
        <w:rPr>
          <w:rFonts w:ascii="Arial" w:cs="Arial" w:eastAsia="Arial" w:hAnsi="Arial"/>
          <w:rtl w:val="0"/>
        </w:rPr>
        <w:t xml:space="preserve">Nominees may hold formal leadership roles, or they may have emerged as leaders through circumstance, passion, or their personal approach to work. Nominees can be employees at any level, and their leadership excellence may be demonstrated through a single body of outstanding work or through sustained performance over an extended period.</w:t>
      </w:r>
    </w:p>
    <w:p w:rsidR="00000000" w:rsidDel="00000000" w:rsidP="00000000" w:rsidRDefault="00000000" w:rsidRPr="00000000" w14:paraId="00000007">
      <w:pPr>
        <w:spacing w:after="280" w:before="280" w:lineRule="auto"/>
        <w:rPr>
          <w:rFonts w:ascii="Arial" w:cs="Arial" w:eastAsia="Arial" w:hAnsi="Arial"/>
        </w:rPr>
      </w:pPr>
      <w:r w:rsidDel="00000000" w:rsidR="00000000" w:rsidRPr="00000000">
        <w:rPr>
          <w:rFonts w:ascii="Arial" w:cs="Arial" w:eastAsia="Arial" w:hAnsi="Arial"/>
          <w:rtl w:val="0"/>
        </w:rPr>
        <w:t xml:space="preserve">To assist with your application, the judges have provided guidance on the leadership qualities, styles, and behaviours that indicate excellence in leadership. These criteria are not exhaustive—they are offered as prompts to help you understand the judges’ expectations. Where you reference evidence in support of a particular criterion, please ensure it is clearly included. </w:t>
      </w:r>
    </w:p>
    <w:p w:rsidR="00000000" w:rsidDel="00000000" w:rsidP="00000000" w:rsidRDefault="00000000" w:rsidRPr="00000000" w14:paraId="00000008">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Manufacturing Leadership Award - Guidance</w:t>
      </w:r>
    </w:p>
    <w:p w:rsidR="00000000" w:rsidDel="00000000" w:rsidP="00000000" w:rsidRDefault="00000000" w:rsidRPr="00000000" w14:paraId="00000009">
      <w:pPr>
        <w:spacing w:after="0" w:before="0" w:lineRule="auto"/>
        <w:ind w:left="0" w:firstLine="0"/>
        <w:rPr>
          <w:rFonts w:ascii="Arial" w:cs="Arial" w:eastAsia="Arial" w:hAnsi="Arial"/>
        </w:rPr>
      </w:pPr>
      <w:r w:rsidDel="00000000" w:rsidR="00000000" w:rsidRPr="00000000">
        <w:rPr>
          <w:rFonts w:ascii="Arial" w:cs="Arial" w:eastAsia="Arial" w:hAnsi="Arial"/>
          <w:rtl w:val="0"/>
        </w:rPr>
        <w:t xml:space="preserve">Describe how the nominee demonstrates excellence in any or all of the following areas: </w:t>
      </w:r>
    </w:p>
    <w:p w:rsidR="00000000" w:rsidDel="00000000" w:rsidP="00000000" w:rsidRDefault="00000000" w:rsidRPr="00000000" w14:paraId="0000000A">
      <w:pPr>
        <w:spacing w:after="0" w:before="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B">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Vision and strategic direction</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Ability to inspire and motivate others</w:t>
      </w: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Collaboration and team building</w:t>
      </w:r>
      <w:r w:rsidDel="00000000" w:rsidR="00000000" w:rsidRPr="00000000">
        <w:rPr>
          <w:rtl w:val="0"/>
        </w:rPr>
      </w:r>
    </w:p>
    <w:p w:rsidR="00000000" w:rsidDel="00000000" w:rsidP="00000000" w:rsidRDefault="00000000" w:rsidRPr="00000000" w14:paraId="0000000E">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Effective and transparent communication</w:t>
      </w: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Leadership and management style</w:t>
      </w:r>
      <w:r w:rsidDel="00000000" w:rsidR="00000000" w:rsidRPr="00000000">
        <w:rPr>
          <w:rtl w:val="0"/>
        </w:rPr>
      </w:r>
    </w:p>
    <w:p w:rsidR="00000000" w:rsidDel="00000000" w:rsidP="00000000" w:rsidRDefault="00000000" w:rsidRPr="00000000" w14:paraId="00000010">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Fostering creativity and innovation</w:t>
      </w:r>
      <w:r w:rsidDel="00000000" w:rsidR="00000000" w:rsidRPr="00000000">
        <w:rPr>
          <w:rtl w:val="0"/>
        </w:rPr>
      </w:r>
    </w:p>
    <w:p w:rsidR="00000000" w:rsidDel="00000000" w:rsidP="00000000" w:rsidRDefault="00000000" w:rsidRPr="00000000" w14:paraId="00000011">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Living and promoting organisational values</w:t>
      </w:r>
      <w:r w:rsidDel="00000000" w:rsidR="00000000" w:rsidRPr="00000000">
        <w:rPr>
          <w:rtl w:val="0"/>
        </w:rPr>
      </w:r>
    </w:p>
    <w:p w:rsidR="00000000" w:rsidDel="00000000" w:rsidP="00000000" w:rsidRDefault="00000000" w:rsidRPr="00000000" w14:paraId="00000012">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Encouraging / fostering a culture of diversity and inclusion</w:t>
      </w:r>
      <w:r w:rsidDel="00000000" w:rsidR="00000000" w:rsidRPr="00000000">
        <w:rPr>
          <w:rtl w:val="0"/>
        </w:rPr>
      </w:r>
    </w:p>
    <w:p w:rsidR="00000000" w:rsidDel="00000000" w:rsidP="00000000" w:rsidRDefault="00000000" w:rsidRPr="00000000" w14:paraId="00000013">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Enhancing team and organisational culture </w:t>
      </w:r>
      <w:r w:rsidDel="00000000" w:rsidR="00000000" w:rsidRPr="00000000">
        <w:rPr>
          <w:rtl w:val="0"/>
        </w:rPr>
      </w:r>
    </w:p>
    <w:p w:rsidR="00000000" w:rsidDel="00000000" w:rsidP="00000000" w:rsidRDefault="00000000" w:rsidRPr="00000000" w14:paraId="00000014">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Resilience and adaptability </w:t>
      </w:r>
      <w:r w:rsidDel="00000000" w:rsidR="00000000" w:rsidRPr="00000000">
        <w:rPr>
          <w:rtl w:val="0"/>
        </w:rPr>
      </w:r>
    </w:p>
    <w:p w:rsidR="00000000" w:rsidDel="00000000" w:rsidP="00000000" w:rsidRDefault="00000000" w:rsidRPr="00000000" w14:paraId="00000015">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sectPr>
      <w:pgSz w:h="16840" w:w="11900" w:orient="portrait"/>
      <w:pgMar w:bottom="1440" w:top="992.1259842519685" w:left="708.6614173228347" w:right="858.54330708661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HHMbFT7feEiiDFF6AZD3jRKqw==">CgMxLjA4AHIhMVl5dnZZeDhTM1VMdkN5Tk9iM0xFMzR2ckoyLTlCbGN5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